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Pr="00020C79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020C79">
        <w:rPr>
          <w:noProof/>
          <w:u w:val="single"/>
          <w:lang w:val="en-US"/>
        </w:rPr>
        <w:t>Press release</w:t>
      </w:r>
      <w:r w:rsidRPr="00020C79">
        <w:rPr>
          <w:szCs w:val="22"/>
          <w:lang w:val="en-US"/>
        </w:rPr>
        <w:t xml:space="preserve"> </w:t>
      </w:r>
      <w:r w:rsidRPr="00020C79">
        <w:rPr>
          <w:szCs w:val="22"/>
          <w:lang w:val="en-US"/>
        </w:rPr>
        <w:tab/>
      </w:r>
      <w:r w:rsidRPr="00020C79">
        <w:rPr>
          <w:b w:val="0"/>
          <w:sz w:val="22"/>
          <w:szCs w:val="22"/>
          <w:lang w:val="en-US"/>
        </w:rPr>
        <w:t>Sulz am Neckar, Germany, September 2015</w:t>
      </w:r>
    </w:p>
    <w:p w:rsidR="00783817" w:rsidRPr="00786BAF" w:rsidRDefault="00783817" w:rsidP="00783817">
      <w:pPr>
        <w:rPr>
          <w:lang w:val="x-none"/>
        </w:rPr>
      </w:pPr>
    </w:p>
    <w:p w:rsidR="00783817" w:rsidRPr="00020C79" w:rsidRDefault="00783817" w:rsidP="00783817">
      <w:pPr>
        <w:rPr>
          <w:lang w:val="en-US"/>
        </w:rPr>
      </w:pPr>
    </w:p>
    <w:p w:rsidR="00D7509E" w:rsidRPr="00020C79" w:rsidRDefault="00B77FEB" w:rsidP="00D7509E">
      <w:pPr>
        <w:rPr>
          <w:rFonts w:cs="Arial"/>
          <w:sz w:val="22"/>
          <w:szCs w:val="22"/>
          <w:lang w:val="en-US"/>
        </w:rPr>
      </w:pPr>
      <w:r w:rsidRPr="00020C79">
        <w:rPr>
          <w:rFonts w:cs="Arial"/>
          <w:sz w:val="22"/>
          <w:szCs w:val="22"/>
          <w:lang w:val="en-US"/>
        </w:rPr>
        <w:t>New catalogue with innovative clamping systems</w:t>
      </w:r>
    </w:p>
    <w:p w:rsidR="00874D03" w:rsidRPr="00020C79" w:rsidRDefault="00D7509E" w:rsidP="004B408C">
      <w:pPr>
        <w:pStyle w:val="berschrift1"/>
        <w:rPr>
          <w:lang w:val="en-US"/>
        </w:rPr>
      </w:pPr>
      <w:r w:rsidRPr="00020C79">
        <w:rPr>
          <w:lang w:val="en-US"/>
        </w:rPr>
        <w:t xml:space="preserve">KIPP introduces the variable UNI lock zero-point clamping system </w:t>
      </w:r>
    </w:p>
    <w:p w:rsidR="00A46E0A" w:rsidRPr="00020C79" w:rsidRDefault="00A46E0A" w:rsidP="00A46E0A">
      <w:pPr>
        <w:rPr>
          <w:lang w:val="en-US" w:eastAsia="x-none"/>
        </w:rPr>
      </w:pPr>
    </w:p>
    <w:p w:rsidR="00D7509E" w:rsidRPr="00020C79" w:rsidRDefault="00D7509E" w:rsidP="00D7509E">
      <w:pPr>
        <w:spacing w:line="276" w:lineRule="auto"/>
        <w:rPr>
          <w:b/>
          <w:bCs/>
          <w:sz w:val="22"/>
          <w:szCs w:val="22"/>
          <w:lang w:val="en-US" w:eastAsia="x-none"/>
        </w:rPr>
      </w:pPr>
      <w:r w:rsidRPr="00020C79">
        <w:rPr>
          <w:b/>
          <w:bCs/>
          <w:sz w:val="22"/>
          <w:szCs w:val="22"/>
          <w:lang w:val="en-US"/>
        </w:rPr>
        <w:t xml:space="preserve">In September 2015, HEINRICH KIPP WERK released the new WORKHOLDING SYSTEMS catalogue. This contains over 2000 clamping components, including the UNI lock zero-point clamping system. The innovative system offers impressive features such as simple handling, reliable retaining force and a whole host of clamping options. </w:t>
      </w:r>
    </w:p>
    <w:p w:rsidR="009709CF" w:rsidRPr="00020C79" w:rsidRDefault="009709CF" w:rsidP="001F595A">
      <w:pPr>
        <w:spacing w:line="276" w:lineRule="auto"/>
        <w:rPr>
          <w:b/>
          <w:bCs/>
          <w:sz w:val="22"/>
          <w:szCs w:val="22"/>
          <w:lang w:val="en-US"/>
        </w:rPr>
      </w:pPr>
    </w:p>
    <w:p w:rsidR="00D7509E" w:rsidRPr="00020C79" w:rsidRDefault="00D7509E" w:rsidP="00D7509E">
      <w:pPr>
        <w:spacing w:line="276" w:lineRule="auto"/>
        <w:rPr>
          <w:rFonts w:cs="Arial"/>
          <w:sz w:val="22"/>
          <w:szCs w:val="22"/>
          <w:lang w:val="en-US"/>
        </w:rPr>
      </w:pPr>
      <w:r w:rsidRPr="00020C79">
        <w:rPr>
          <w:rFonts w:cs="Arial"/>
          <w:sz w:val="22"/>
          <w:szCs w:val="22"/>
          <w:lang w:val="en-US"/>
        </w:rPr>
        <w:t xml:space="preserve">The KIPP UNI lock zero-point clamping system facilitates the quick and precise clamping or referencing of fixtures and clamping components. This enables the zero-point clamping system to optimise work on </w:t>
      </w:r>
      <w:proofErr w:type="gramStart"/>
      <w:r w:rsidRPr="00020C79">
        <w:rPr>
          <w:rFonts w:cs="Arial"/>
          <w:sz w:val="22"/>
          <w:szCs w:val="22"/>
          <w:lang w:val="en-US"/>
        </w:rPr>
        <w:t>machine-tools</w:t>
      </w:r>
      <w:proofErr w:type="gramEnd"/>
      <w:r w:rsidRPr="00020C79">
        <w:rPr>
          <w:rFonts w:cs="Arial"/>
          <w:sz w:val="22"/>
          <w:szCs w:val="22"/>
          <w:lang w:val="en-US"/>
        </w:rPr>
        <w:t xml:space="preserve">, machining centres and measuring equipment. Machine running times </w:t>
      </w:r>
      <w:proofErr w:type="gramStart"/>
      <w:r w:rsidRPr="00020C79">
        <w:rPr>
          <w:rFonts w:cs="Arial"/>
          <w:sz w:val="22"/>
          <w:szCs w:val="22"/>
          <w:lang w:val="en-US"/>
        </w:rPr>
        <w:t>are increased</w:t>
      </w:r>
      <w:proofErr w:type="gramEnd"/>
      <w:r w:rsidRPr="00020C79">
        <w:rPr>
          <w:rFonts w:cs="Arial"/>
          <w:sz w:val="22"/>
          <w:szCs w:val="22"/>
          <w:lang w:val="en-US"/>
        </w:rPr>
        <w:t xml:space="preserve"> through rapid changes, setup times are reduced. Thanks to the defined zero point and highly precise centring via the short </w:t>
      </w:r>
      <w:proofErr w:type="gramStart"/>
      <w:r w:rsidRPr="00020C79">
        <w:rPr>
          <w:rFonts w:cs="Arial"/>
          <w:sz w:val="22"/>
          <w:szCs w:val="22"/>
          <w:lang w:val="en-US"/>
        </w:rPr>
        <w:t>taper,</w:t>
      </w:r>
      <w:proofErr w:type="gramEnd"/>
      <w:r w:rsidRPr="00020C79">
        <w:rPr>
          <w:rFonts w:cs="Arial"/>
          <w:sz w:val="22"/>
          <w:szCs w:val="22"/>
          <w:lang w:val="en-US"/>
        </w:rPr>
        <w:t xml:space="preserve"> this clamping system has a repeat accuracy of up to 0.005 mm. </w:t>
      </w:r>
    </w:p>
    <w:p w:rsidR="00D7509E" w:rsidRPr="00020C79" w:rsidRDefault="00D7509E" w:rsidP="00D7509E">
      <w:pPr>
        <w:spacing w:line="276" w:lineRule="auto"/>
        <w:rPr>
          <w:rFonts w:cs="Arial"/>
          <w:sz w:val="22"/>
          <w:szCs w:val="22"/>
          <w:lang w:val="en-US"/>
        </w:rPr>
      </w:pPr>
    </w:p>
    <w:p w:rsidR="00D7509E" w:rsidRPr="00020C79" w:rsidRDefault="00D7509E" w:rsidP="00D7509E">
      <w:pPr>
        <w:spacing w:line="276" w:lineRule="auto"/>
        <w:rPr>
          <w:rFonts w:cs="Arial"/>
          <w:sz w:val="22"/>
          <w:szCs w:val="22"/>
          <w:lang w:val="en-US"/>
        </w:rPr>
      </w:pPr>
      <w:r w:rsidRPr="00020C79">
        <w:rPr>
          <w:rFonts w:cs="Arial"/>
          <w:sz w:val="22"/>
          <w:szCs w:val="22"/>
          <w:lang w:val="en-US"/>
        </w:rPr>
        <w:t xml:space="preserve">The new UNI lock zero-point clamping system is yet another addition to KIPP's </w:t>
      </w:r>
      <w:proofErr w:type="gramStart"/>
      <w:r w:rsidRPr="00020C79">
        <w:rPr>
          <w:rFonts w:cs="Arial"/>
          <w:sz w:val="22"/>
          <w:szCs w:val="22"/>
          <w:lang w:val="en-US"/>
        </w:rPr>
        <w:t>ever expanding</w:t>
      </w:r>
      <w:proofErr w:type="gramEnd"/>
      <w:r w:rsidRPr="00020C79">
        <w:rPr>
          <w:rFonts w:cs="Arial"/>
          <w:sz w:val="22"/>
          <w:szCs w:val="22"/>
          <w:lang w:val="en-US"/>
        </w:rPr>
        <w:t xml:space="preserve"> product line of WORKHOLDING SYSTEMS. The clamping pin features a uniform size, which makes it 100% compatible with the entire UNI lock range. The UNI lock system is made of mild </w:t>
      </w:r>
      <w:proofErr w:type="gramStart"/>
      <w:r w:rsidRPr="00020C79">
        <w:rPr>
          <w:rFonts w:cs="Arial"/>
          <w:sz w:val="22"/>
          <w:szCs w:val="22"/>
          <w:lang w:val="en-US"/>
        </w:rPr>
        <w:t>steel,</w:t>
      </w:r>
      <w:proofErr w:type="gramEnd"/>
      <w:r w:rsidRPr="00020C79">
        <w:rPr>
          <w:rFonts w:cs="Arial"/>
          <w:sz w:val="22"/>
          <w:szCs w:val="22"/>
          <w:lang w:val="en-US"/>
        </w:rPr>
        <w:t xml:space="preserve"> guarantees a positive locking and boasts a retaining force of 75,000 N when fastened with M16 screws.</w:t>
      </w:r>
    </w:p>
    <w:p w:rsidR="00D7509E" w:rsidRPr="00020C79" w:rsidRDefault="00D7509E" w:rsidP="00D7509E">
      <w:pPr>
        <w:spacing w:line="276" w:lineRule="auto"/>
        <w:rPr>
          <w:rFonts w:cs="Arial"/>
          <w:sz w:val="22"/>
          <w:szCs w:val="22"/>
          <w:lang w:val="en-US"/>
        </w:rPr>
      </w:pPr>
    </w:p>
    <w:p w:rsidR="000D7C05" w:rsidRPr="00020C79" w:rsidRDefault="00D7509E" w:rsidP="00D7509E">
      <w:pPr>
        <w:spacing w:line="276" w:lineRule="auto"/>
        <w:rPr>
          <w:szCs w:val="22"/>
          <w:lang w:val="en-US"/>
        </w:rPr>
      </w:pPr>
      <w:r w:rsidRPr="00020C79">
        <w:rPr>
          <w:rFonts w:cs="Arial"/>
          <w:sz w:val="22"/>
          <w:szCs w:val="22"/>
          <w:lang w:val="en-US"/>
        </w:rPr>
        <w:t xml:space="preserve">HEINRICH KIPP WERK offers </w:t>
      </w:r>
      <w:proofErr w:type="gramStart"/>
      <w:r w:rsidRPr="00020C79">
        <w:rPr>
          <w:rFonts w:cs="Arial"/>
          <w:sz w:val="22"/>
          <w:szCs w:val="22"/>
          <w:lang w:val="en-US"/>
        </w:rPr>
        <w:t>1x</w:t>
      </w:r>
      <w:proofErr w:type="gramEnd"/>
      <w:r w:rsidRPr="00020C79">
        <w:rPr>
          <w:rFonts w:cs="Arial"/>
          <w:sz w:val="22"/>
          <w:szCs w:val="22"/>
          <w:lang w:val="en-US"/>
        </w:rPr>
        <w:t xml:space="preserve">, 2x, 4x or 6x clamping stations with integrated UNI lock installation clamps as standard ex works. Special versions with custom dimensions are also available on request. </w:t>
      </w:r>
    </w:p>
    <w:p w:rsidR="00D91134" w:rsidRPr="00020C79" w:rsidRDefault="00D91134" w:rsidP="00D91134">
      <w:pPr>
        <w:pStyle w:val="Pressetext"/>
        <w:rPr>
          <w:lang w:val="en-US"/>
        </w:rPr>
      </w:pPr>
    </w:p>
    <w:p w:rsidR="00D91134" w:rsidRPr="00020C79" w:rsidRDefault="00D91134" w:rsidP="00D91134">
      <w:pPr>
        <w:rPr>
          <w:rFonts w:cs="Arial"/>
          <w:sz w:val="20"/>
          <w:u w:val="single"/>
          <w:lang w:val="en-US"/>
        </w:rPr>
      </w:pPr>
      <w:r w:rsidRPr="00020C79">
        <w:rPr>
          <w:rFonts w:cs="Arial"/>
          <w:sz w:val="20"/>
          <w:u w:val="single"/>
          <w:lang w:val="en-US"/>
        </w:rPr>
        <w:t>Characters including spaces:</w:t>
      </w:r>
    </w:p>
    <w:p w:rsidR="00D91134" w:rsidRPr="00020C79" w:rsidRDefault="00020C79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020C79">
        <w:rPr>
          <w:rFonts w:cs="Arial"/>
          <w:sz w:val="20"/>
          <w:lang w:val="en-US"/>
        </w:rPr>
        <w:t>Headline:</w:t>
      </w:r>
      <w:r w:rsidRPr="00020C79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65</w:t>
      </w:r>
      <w:r w:rsidR="00D91134" w:rsidRPr="00020C79">
        <w:rPr>
          <w:rFonts w:cs="Arial"/>
          <w:sz w:val="20"/>
          <w:lang w:val="en-US"/>
        </w:rPr>
        <w:t xml:space="preserve"> characters</w:t>
      </w:r>
    </w:p>
    <w:p w:rsidR="00D91134" w:rsidRPr="00020C79" w:rsidRDefault="00020C7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46</w:t>
      </w:r>
      <w:r w:rsidR="0008715A" w:rsidRPr="00020C79">
        <w:rPr>
          <w:rFonts w:cs="Arial"/>
          <w:sz w:val="20"/>
          <w:lang w:val="en-US"/>
        </w:rPr>
        <w:t xml:space="preserve"> characters</w:t>
      </w:r>
    </w:p>
    <w:p w:rsidR="00D91134" w:rsidRPr="00020C79" w:rsidRDefault="00020C7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1,387</w:t>
      </w:r>
      <w:r w:rsidR="00D91134" w:rsidRPr="00020C79">
        <w:rPr>
          <w:rFonts w:cs="Arial"/>
          <w:sz w:val="20"/>
          <w:lang w:val="en-US"/>
        </w:rPr>
        <w:t xml:space="preserve"> characters</w:t>
      </w:r>
    </w:p>
    <w:p w:rsidR="00D91134" w:rsidRPr="00020C79" w:rsidRDefault="00020C7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1,498</w:t>
      </w:r>
      <w:bookmarkStart w:id="0" w:name="_GoBack"/>
      <w:bookmarkEnd w:id="0"/>
      <w:r w:rsidR="00D91134" w:rsidRPr="00020C79">
        <w:rPr>
          <w:rFonts w:cs="Arial"/>
          <w:sz w:val="20"/>
          <w:lang w:val="en-US"/>
        </w:rPr>
        <w:t xml:space="preserve"> characters</w:t>
      </w:r>
    </w:p>
    <w:p w:rsidR="00D91134" w:rsidRPr="00020C79" w:rsidRDefault="00D91134" w:rsidP="00D7509E">
      <w:pPr>
        <w:tabs>
          <w:tab w:val="left" w:pos="4020"/>
        </w:tabs>
        <w:rPr>
          <w:noProof/>
          <w:lang w:val="en-US"/>
        </w:rPr>
      </w:pPr>
    </w:p>
    <w:p w:rsidR="00D91134" w:rsidRPr="00020C79" w:rsidRDefault="00D91134" w:rsidP="00D91134">
      <w:pPr>
        <w:pStyle w:val="Pressetext"/>
        <w:rPr>
          <w:lang w:val="en-US"/>
        </w:rPr>
      </w:pPr>
    </w:p>
    <w:p w:rsidR="00FE2FE8" w:rsidRPr="00020C79" w:rsidRDefault="00FE2FE8" w:rsidP="00D91134">
      <w:pPr>
        <w:pStyle w:val="Pressetext"/>
        <w:rPr>
          <w:lang w:val="en-US"/>
        </w:rPr>
      </w:pPr>
    </w:p>
    <w:p w:rsidR="00D91134" w:rsidRPr="00020C79" w:rsidRDefault="00D91134" w:rsidP="00D91134">
      <w:pPr>
        <w:rPr>
          <w:rFonts w:cs="Arial"/>
          <w:sz w:val="20"/>
          <w:lang w:val="en-US"/>
        </w:rPr>
      </w:pPr>
      <w:r w:rsidRPr="00020C79">
        <w:rPr>
          <w:rFonts w:cs="Arial"/>
          <w:sz w:val="20"/>
          <w:lang w:val="en-US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 w:rsidRPr="00020C79">
        <w:rPr>
          <w:rFonts w:cs="Arial"/>
          <w:sz w:val="20"/>
          <w:lang w:val="en-US"/>
        </w:rPr>
        <w:t>Stefanie Beck, Market</w:t>
      </w:r>
      <w:r>
        <w:rPr>
          <w:rFonts w:cs="Arial"/>
          <w:sz w:val="20"/>
        </w:rPr>
        <w:t>ing</w:t>
      </w:r>
    </w:p>
    <w:p w:rsidR="00D91134" w:rsidRPr="00020C79" w:rsidRDefault="00D91134" w:rsidP="00D91134">
      <w:pPr>
        <w:rPr>
          <w:rFonts w:cs="Arial"/>
          <w:sz w:val="20"/>
          <w:lang w:val="en-US"/>
        </w:rPr>
      </w:pPr>
      <w:r w:rsidRPr="00020C79">
        <w:rPr>
          <w:rFonts w:cs="Arial"/>
          <w:sz w:val="20"/>
          <w:lang w:val="en-US"/>
        </w:rPr>
        <w:t>Heubergstrasse 2</w:t>
      </w:r>
    </w:p>
    <w:p w:rsidR="00D91134" w:rsidRPr="00020C79" w:rsidRDefault="00D91134" w:rsidP="00D91134">
      <w:pPr>
        <w:rPr>
          <w:rFonts w:cs="Arial"/>
          <w:sz w:val="20"/>
          <w:lang w:val="en-US"/>
        </w:rPr>
      </w:pPr>
      <w:proofErr w:type="gramStart"/>
      <w:r w:rsidRPr="00020C79">
        <w:rPr>
          <w:rFonts w:cs="Arial"/>
          <w:sz w:val="20"/>
          <w:lang w:val="en-US"/>
        </w:rPr>
        <w:t>72172</w:t>
      </w:r>
      <w:proofErr w:type="gramEnd"/>
      <w:r w:rsidRPr="00020C79">
        <w:rPr>
          <w:rFonts w:cs="Arial"/>
          <w:sz w:val="20"/>
          <w:lang w:val="en-US"/>
        </w:rPr>
        <w:t xml:space="preserve"> Sulz am Neckar, Germany</w:t>
      </w:r>
    </w:p>
    <w:p w:rsidR="00D91134" w:rsidRPr="00020C79" w:rsidRDefault="00D91134" w:rsidP="00D91134">
      <w:pPr>
        <w:rPr>
          <w:rFonts w:cs="Arial"/>
          <w:sz w:val="20"/>
          <w:lang w:val="en-US"/>
        </w:rPr>
      </w:pPr>
    </w:p>
    <w:p w:rsidR="00D91134" w:rsidRPr="00020C79" w:rsidRDefault="00C1139F" w:rsidP="00D91134">
      <w:pPr>
        <w:rPr>
          <w:rFonts w:cs="Arial"/>
          <w:sz w:val="20"/>
          <w:lang w:val="en-US"/>
        </w:rPr>
      </w:pPr>
      <w:r w:rsidRPr="00020C79">
        <w:rPr>
          <w:rFonts w:cs="Arial"/>
          <w:sz w:val="20"/>
          <w:lang w:val="en-US"/>
        </w:rPr>
        <w:t>Telephone: +49 7454 793-30</w:t>
      </w:r>
    </w:p>
    <w:p w:rsidR="00D91134" w:rsidRPr="00020C79" w:rsidRDefault="00D91134" w:rsidP="00D91134">
      <w:pPr>
        <w:rPr>
          <w:sz w:val="20"/>
          <w:szCs w:val="20"/>
          <w:lang w:val="en-US"/>
        </w:rPr>
      </w:pPr>
      <w:r w:rsidRPr="00020C79">
        <w:rPr>
          <w:sz w:val="20"/>
          <w:szCs w:val="20"/>
          <w:lang w:val="en-US"/>
        </w:rPr>
        <w:t xml:space="preserve">E-mail: s.beck@kipp.com </w:t>
      </w:r>
    </w:p>
    <w:p w:rsidR="00734277" w:rsidRPr="00020C79" w:rsidRDefault="00734277">
      <w:pPr>
        <w:rPr>
          <w:lang w:val="en-US"/>
        </w:rPr>
      </w:pPr>
      <w:r w:rsidRPr="00020C79">
        <w:rPr>
          <w:lang w:val="en-US"/>
        </w:rPr>
        <w:br w:type="page"/>
      </w:r>
    </w:p>
    <w:p w:rsidR="0094682F" w:rsidRPr="00020C79" w:rsidRDefault="0094682F" w:rsidP="0094682F">
      <w:pPr>
        <w:pStyle w:val="berschrift3"/>
        <w:rPr>
          <w:lang w:val="en-US"/>
        </w:rPr>
      </w:pPr>
      <w:r w:rsidRPr="00020C79">
        <w:rPr>
          <w:lang w:val="en-US"/>
        </w:rPr>
        <w:lastRenderedPageBreak/>
        <w:t>Additional information and press photos</w:t>
      </w:r>
    </w:p>
    <w:p w:rsidR="0094682F" w:rsidRPr="00020C79" w:rsidRDefault="0094682F" w:rsidP="0094682F">
      <w:pPr>
        <w:ind w:left="284"/>
        <w:rPr>
          <w:sz w:val="20"/>
          <w:lang w:val="en-US"/>
        </w:rPr>
      </w:pPr>
      <w:r w:rsidRPr="00020C79">
        <w:rPr>
          <w:sz w:val="20"/>
          <w:lang w:val="en-US"/>
        </w:rPr>
        <w:t>See www.kipp.com, Region: Germany, Category: News/Newsroom</w:t>
      </w:r>
    </w:p>
    <w:p w:rsidR="0094682F" w:rsidRPr="00020C79" w:rsidRDefault="0094682F" w:rsidP="0094682F">
      <w:pPr>
        <w:pStyle w:val="berschrift3"/>
        <w:rPr>
          <w:lang w:val="en-US"/>
        </w:rPr>
      </w:pPr>
    </w:p>
    <w:p w:rsidR="0094682F" w:rsidRPr="00020C79" w:rsidRDefault="0094682F" w:rsidP="0094682F">
      <w:pPr>
        <w:pStyle w:val="berschrift3"/>
        <w:rPr>
          <w:lang w:val="en-US"/>
        </w:rPr>
      </w:pPr>
    </w:p>
    <w:p w:rsidR="0094682F" w:rsidRPr="00314B6B" w:rsidRDefault="0094682F" w:rsidP="0094682F">
      <w:pPr>
        <w:pStyle w:val="berschrift3"/>
      </w:pPr>
      <w:r>
        <w:t>Photos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16"/>
        <w:gridCol w:w="4067"/>
      </w:tblGrid>
      <w:tr w:rsidR="008B3189" w:rsidRPr="00020C79" w:rsidTr="001077B3">
        <w:tc>
          <w:tcPr>
            <w:tcW w:w="4541" w:type="dxa"/>
          </w:tcPr>
          <w:p w:rsidR="0094682F" w:rsidRPr="00020C79" w:rsidRDefault="0094682F" w:rsidP="001077B3">
            <w:pPr>
              <w:rPr>
                <w:sz w:val="20"/>
                <w:lang w:val="en-US"/>
              </w:rPr>
            </w:pPr>
            <w:r w:rsidRPr="00020C79">
              <w:rPr>
                <w:sz w:val="20"/>
                <w:lang w:val="en-US"/>
              </w:rPr>
              <w:t xml:space="preserve">Image text: </w:t>
            </w:r>
          </w:p>
          <w:p w:rsidR="0094682F" w:rsidRPr="00020C79" w:rsidRDefault="00836F86" w:rsidP="0094682F">
            <w:pPr>
              <w:rPr>
                <w:b/>
                <w:bCs/>
                <w:sz w:val="20"/>
                <w:lang w:val="en-US"/>
              </w:rPr>
            </w:pPr>
            <w:r w:rsidRPr="00020C79">
              <w:rPr>
                <w:b/>
                <w:bCs/>
                <w:sz w:val="20"/>
                <w:lang w:val="en-US"/>
              </w:rPr>
              <w:t>The "UNI lock zero-point clamping system" guarantees quick and precise clamping and referencing of fixtures and workpieces.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94682F" w:rsidRPr="00020C79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020C79" w:rsidRDefault="0094682F" w:rsidP="0094682F">
                  <w:pPr>
                    <w:divId w:val="2012559489"/>
                    <w:rPr>
                      <w:sz w:val="20"/>
                      <w:lang w:val="en-US"/>
                    </w:rPr>
                  </w:pPr>
                </w:p>
              </w:tc>
            </w:tr>
          </w:tbl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Pr="00020C79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94682F" w:rsidRDefault="00FE2FE8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BC396" wp14:editId="6A0B032B">
                  <wp:extent cx="3235955" cy="216000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Nullpunkt Spannsystem UNI lo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5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Pr="00020C79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020C79">
              <w:rPr>
                <w:sz w:val="16"/>
                <w:szCs w:val="16"/>
                <w:lang w:val="en-US"/>
              </w:rPr>
              <w:t xml:space="preserve">Image copyright: Released for licence and royalty-free publication in speciality media. </w:t>
            </w:r>
          </w:p>
          <w:p w:rsidR="0094682F" w:rsidRPr="00020C79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020C79">
              <w:rPr>
                <w:sz w:val="16"/>
                <w:szCs w:val="16"/>
                <w:lang w:val="en-US"/>
              </w:rPr>
              <w:t xml:space="preserve">Please cite the source and submit a reference. </w:t>
            </w:r>
          </w:p>
          <w:p w:rsidR="0094682F" w:rsidRPr="00020C79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94682F" w:rsidRPr="00020C79" w:rsidRDefault="0094682F" w:rsidP="001077B3">
            <w:pPr>
              <w:ind w:left="-79"/>
              <w:rPr>
                <w:sz w:val="20"/>
                <w:lang w:val="en-US"/>
              </w:rPr>
            </w:pPr>
          </w:p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94682F" w:rsidRPr="00020C79" w:rsidRDefault="0094682F" w:rsidP="001077B3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8B3189" w:rsidRPr="00020C79" w:rsidRDefault="008B3189" w:rsidP="001077B3">
            <w:pPr>
              <w:rPr>
                <w:sz w:val="20"/>
                <w:lang w:val="en-US"/>
              </w:rPr>
            </w:pPr>
          </w:p>
          <w:p w:rsidR="00CD51D6" w:rsidRPr="00020C79" w:rsidRDefault="00CD51D6" w:rsidP="001077B3">
            <w:pPr>
              <w:rPr>
                <w:sz w:val="20"/>
                <w:lang w:val="en-US"/>
              </w:rPr>
            </w:pPr>
          </w:p>
          <w:p w:rsidR="008B3189" w:rsidRPr="00020C79" w:rsidRDefault="008B3189" w:rsidP="001077B3">
            <w:pPr>
              <w:rPr>
                <w:sz w:val="20"/>
                <w:lang w:val="en-US"/>
              </w:rPr>
            </w:pPr>
          </w:p>
          <w:p w:rsidR="008B3189" w:rsidRPr="00020C79" w:rsidRDefault="008B3189" w:rsidP="001077B3">
            <w:pPr>
              <w:rPr>
                <w:sz w:val="20"/>
                <w:lang w:val="en-US"/>
              </w:rPr>
            </w:pPr>
          </w:p>
          <w:p w:rsidR="0094682F" w:rsidRPr="00020C79" w:rsidRDefault="0094682F" w:rsidP="001077B3">
            <w:pPr>
              <w:rPr>
                <w:sz w:val="20"/>
                <w:lang w:val="en-US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Image file: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Nullpunkt Spannsystem UNI lock.jpg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020C7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0C79"/>
    <w:rsid w:val="000214CD"/>
    <w:rsid w:val="0004350D"/>
    <w:rsid w:val="00075035"/>
    <w:rsid w:val="0008715A"/>
    <w:rsid w:val="0009007F"/>
    <w:rsid w:val="00096AA0"/>
    <w:rsid w:val="000B2E15"/>
    <w:rsid w:val="000C2BCB"/>
    <w:rsid w:val="000C5C57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088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056B"/>
    <w:rsid w:val="00831AFC"/>
    <w:rsid w:val="0083468D"/>
    <w:rsid w:val="00836F86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8F4E4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77FEB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E16B7"/>
    <w:rsid w:val="00CF6850"/>
    <w:rsid w:val="00D12D81"/>
    <w:rsid w:val="00D158CF"/>
    <w:rsid w:val="00D1787C"/>
    <w:rsid w:val="00D17F97"/>
    <w:rsid w:val="00D31397"/>
    <w:rsid w:val="00D610DD"/>
    <w:rsid w:val="00D7509E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E2FE8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AC5F-EBBA-4977-9241-94F6355B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EDB3DA1.dotm</Template>
  <TotalTime>0</TotalTime>
  <Pages>2</Pages>
  <Words>329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2015-08-20T11:24:00Z</cp:lastPrinted>
  <dcterms:created xsi:type="dcterms:W3CDTF">2015-08-14T07:27:00Z</dcterms:created>
  <dcterms:modified xsi:type="dcterms:W3CDTF">2015-09-24T13:58:00Z</dcterms:modified>
</cp:coreProperties>
</file>